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w:t>
      </w:r>
      <w:r>
        <w:rPr>
          <w:rFonts w:hint="eastAsia" w:ascii="Arial" w:hAnsi="Arial" w:eastAsia="宋体" w:cs="Arial"/>
          <w:b/>
          <w:sz w:val="24"/>
          <w:szCs w:val="24"/>
          <w:lang w:val="en-US" w:eastAsia="zh-CN"/>
        </w:rPr>
        <w:t>9-</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R4-2109001</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May. 19-27,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w:t>
      </w:r>
      <w:r>
        <w:rPr>
          <w:rFonts w:hint="eastAsia" w:ascii="Arial" w:hAnsi="Arial" w:eastAsia="Calibri" w:cs="Arial"/>
          <w:b/>
          <w:bCs/>
          <w:sz w:val="24"/>
          <w:lang w:val="en-GB"/>
        </w:rPr>
        <w:t xml:space="preserve"> </w:t>
      </w:r>
      <w:r>
        <w:rPr>
          <w:rFonts w:hint="eastAsia" w:ascii="Arial" w:hAnsi="Arial" w:eastAsia="宋体" w:cs="Arial"/>
          <w:b/>
          <w:bCs/>
          <w:sz w:val="24"/>
          <w:lang w:val="en-US" w:eastAsia="zh-CN"/>
        </w:rPr>
        <w:t>eIAB RRM</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9.16.3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99-e, there will be TUs allocated to eIAB for the first time. Discussions on the scope and the work plan is anticipated to kick off. The shared work plan for RRM in this meeting is shared and copied below.</w:t>
      </w:r>
    </w:p>
    <w:tbl>
      <w:tblPr>
        <w:tblStyle w:val="17"/>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573"/>
        <w:gridCol w:w="983"/>
        <w:gridCol w:w="525"/>
        <w:gridCol w:w="6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028" w:type="dxa"/>
            <w:shd w:val="clear" w:color="auto" w:fill="FFFFFF"/>
          </w:tcPr>
          <w:p>
            <w:pPr>
              <w:spacing w:before="60" w:after="60"/>
              <w:rPr>
                <w:color w:val="000000"/>
              </w:rPr>
            </w:pPr>
            <w:r>
              <w:rPr>
                <w:color w:val="000000"/>
              </w:rPr>
              <w:t>RAN4RD</w:t>
            </w:r>
          </w:p>
        </w:tc>
        <w:tc>
          <w:tcPr>
            <w:tcW w:w="573" w:type="dxa"/>
            <w:shd w:val="clear" w:color="auto" w:fill="FFFFFF"/>
          </w:tcPr>
          <w:p>
            <w:pPr>
              <w:spacing w:before="60" w:after="60"/>
              <w:rPr>
                <w:color w:val="000000"/>
              </w:rPr>
            </w:pPr>
            <w:r>
              <w:rPr>
                <w:color w:val="000000"/>
              </w:rPr>
              <w:t>#99</w:t>
            </w:r>
          </w:p>
        </w:tc>
        <w:tc>
          <w:tcPr>
            <w:tcW w:w="983" w:type="dxa"/>
            <w:shd w:val="clear" w:color="auto" w:fill="FFFFFF"/>
          </w:tcPr>
          <w:p>
            <w:pPr>
              <w:spacing w:before="60" w:after="60"/>
              <w:rPr>
                <w:color w:val="000000"/>
              </w:rPr>
            </w:pPr>
            <w:r>
              <w:t>May 19-27, 2021</w:t>
            </w:r>
          </w:p>
        </w:tc>
        <w:tc>
          <w:tcPr>
            <w:tcW w:w="525" w:type="dxa"/>
            <w:shd w:val="clear" w:color="auto" w:fill="FFFFFF"/>
          </w:tcPr>
          <w:p>
            <w:pPr>
              <w:spacing w:before="60" w:after="60"/>
              <w:jc w:val="center"/>
              <w:rPr>
                <w:color w:val="000000"/>
              </w:rPr>
            </w:pPr>
            <w:r>
              <w:rPr>
                <w:color w:val="000000"/>
              </w:rPr>
              <w:t>0.5</w:t>
            </w:r>
          </w:p>
        </w:tc>
        <w:tc>
          <w:tcPr>
            <w:tcW w:w="6696" w:type="dxa"/>
            <w:shd w:val="clear" w:color="auto" w:fill="FFFFFF"/>
          </w:tcPr>
          <w:p>
            <w:pPr>
              <w:pStyle w:val="66"/>
              <w:spacing w:line="240" w:lineRule="auto"/>
              <w:ind w:left="288" w:hanging="288" w:firstLineChars="0"/>
              <w:rPr>
                <w:color w:val="000000"/>
              </w:rPr>
            </w:pPr>
            <w:r>
              <w:rPr>
                <w:rFonts w:eastAsiaTheme="minorEastAsia"/>
                <w:color w:val="000000"/>
                <w:lang w:eastAsia="zh-CN"/>
              </w:rPr>
              <w:t xml:space="preserve">Kick off </w:t>
            </w:r>
            <w:r>
              <w:rPr>
                <w:color w:val="000000"/>
              </w:rPr>
              <w:t xml:space="preserve">discussion on RRM core requirements impact to enable Rel-17 enhancement on eIAB including </w:t>
            </w:r>
          </w:p>
          <w:p>
            <w:pPr>
              <w:pStyle w:val="66"/>
              <w:numPr>
                <w:ilvl w:val="0"/>
                <w:numId w:val="6"/>
              </w:numPr>
              <w:spacing w:line="240" w:lineRule="auto"/>
              <w:ind w:firstLineChars="0"/>
              <w:rPr>
                <w:color w:val="000000"/>
              </w:rPr>
            </w:pPr>
            <w:r>
              <w:rPr>
                <w:color w:val="000000"/>
              </w:rPr>
              <w:t>Simultaneous operation for backhaul and access links,</w:t>
            </w:r>
          </w:p>
          <w:p>
            <w:pPr>
              <w:pStyle w:val="66"/>
              <w:numPr>
                <w:ilvl w:val="0"/>
                <w:numId w:val="6"/>
              </w:numPr>
              <w:spacing w:line="240" w:lineRule="auto"/>
              <w:ind w:firstLineChars="0"/>
              <w:rPr>
                <w:color w:val="000000"/>
              </w:rPr>
            </w:pPr>
            <w:r>
              <w:rPr>
                <w:color w:val="000000"/>
              </w:rPr>
              <w:t>Dual connectivity</w:t>
            </w:r>
          </w:p>
          <w:p>
            <w:pPr>
              <w:pStyle w:val="66"/>
              <w:numPr>
                <w:ilvl w:val="0"/>
                <w:numId w:val="6"/>
              </w:numPr>
              <w:spacing w:line="240" w:lineRule="auto"/>
              <w:ind w:firstLineChars="0"/>
              <w:rPr>
                <w:color w:val="000000"/>
              </w:rPr>
            </w:pPr>
            <w:r>
              <w:rPr>
                <w:color w:val="000000"/>
              </w:rPr>
              <w:t xml:space="preserve">Timing related enhancement </w:t>
            </w:r>
          </w:p>
          <w:p>
            <w:pPr>
              <w:pStyle w:val="66"/>
              <w:numPr>
                <w:ilvl w:val="1"/>
                <w:numId w:val="6"/>
              </w:numPr>
              <w:spacing w:line="240" w:lineRule="auto"/>
              <w:ind w:firstLineChars="0"/>
              <w:rPr>
                <w:color w:val="000000"/>
              </w:rPr>
            </w:pPr>
            <w:r>
              <w:rPr>
                <w:rFonts w:eastAsiaTheme="minorEastAsia"/>
                <w:color w:val="000000"/>
                <w:lang w:eastAsia="zh-CN"/>
              </w:rPr>
              <w:t xml:space="preserve">If any RRM core requirement impact to enable timing mode case#6 </w:t>
            </w:r>
            <w:r>
              <w:rPr>
                <w:rFonts w:hint="eastAsia" w:eastAsiaTheme="minorEastAsia"/>
                <w:color w:val="000000"/>
                <w:lang w:eastAsia="zh-CN"/>
              </w:rPr>
              <w:t>,</w:t>
            </w:r>
            <w:r>
              <w:rPr>
                <w:rFonts w:eastAsiaTheme="minorEastAsia"/>
                <w:color w:val="000000"/>
                <w:lang w:eastAsia="zh-CN"/>
              </w:rPr>
              <w:t xml:space="preserve"> timing mode case #7, and switching between timing mode case#1, case#6 and case #7.</w:t>
            </w:r>
          </w:p>
          <w:p>
            <w:pPr>
              <w:pStyle w:val="66"/>
              <w:numPr>
                <w:ilvl w:val="0"/>
                <w:numId w:val="6"/>
              </w:numPr>
              <w:spacing w:line="240" w:lineRule="auto"/>
              <w:ind w:firstLineChars="0"/>
              <w:rPr>
                <w:color w:val="000000"/>
              </w:rPr>
            </w:pPr>
            <w:r>
              <w:rPr>
                <w:color w:val="000000"/>
              </w:rPr>
              <w:t>CLI and interference measurement of BH links</w:t>
            </w:r>
          </w:p>
          <w:p>
            <w:pPr>
              <w:pStyle w:val="66"/>
              <w:numPr>
                <w:ilvl w:val="0"/>
                <w:numId w:val="6"/>
              </w:numPr>
              <w:spacing w:line="240" w:lineRule="auto"/>
              <w:ind w:firstLineChars="0"/>
              <w:rPr>
                <w:color w:val="000000"/>
              </w:rPr>
            </w:pPr>
            <w:r>
              <w:rPr>
                <w:color w:val="000000"/>
              </w:rPr>
              <w:t>Others</w:t>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w:t>
      </w:r>
    </w:p>
    <w:p>
      <w:pPr>
        <w:pStyle w:val="27"/>
        <w:jc w:val="both"/>
        <w:rPr>
          <w:rFonts w:hint="default" w:eastAsia="宋体"/>
          <w:lang w:val="en-US" w:eastAsia="zh-CN"/>
        </w:rPr>
      </w:pPr>
      <w:r>
        <w:t>2</w:t>
      </w:r>
      <w:r>
        <w:tab/>
      </w:r>
      <w:r>
        <w:rPr>
          <w:rFonts w:hint="eastAsia"/>
          <w:lang w:val="en-US" w:eastAsia="zh-CN"/>
        </w:rPr>
        <w:t>Discussions</w:t>
      </w:r>
    </w:p>
    <w:p>
      <w:pPr>
        <w:rPr>
          <w:rFonts w:hint="eastAsia"/>
          <w:b w:val="0"/>
          <w:bCs/>
          <w:sz w:val="22"/>
          <w:szCs w:val="22"/>
          <w:lang w:val="en-US" w:eastAsia="zh-CN"/>
        </w:rPr>
      </w:pPr>
      <w:r>
        <w:rPr>
          <w:rFonts w:hint="eastAsia"/>
          <w:b w:val="0"/>
          <w:bCs/>
          <w:sz w:val="22"/>
          <w:szCs w:val="22"/>
          <w:lang w:val="en-US" w:eastAsia="zh-CN"/>
        </w:rPr>
        <w:t>Dual connectivity is not supported for R16 IAB-MTs and now the discussion is whether and how to support DC for R17 IAB-MTs. As reflected by RAN1 discussion summary [1], inter-band DC is supported as a baseline. For intra-band NR-DC, at least synchronous intra-band is supported.</w:t>
      </w:r>
    </w:p>
    <w:p>
      <w:pPr>
        <w:rPr>
          <w:rFonts w:hint="default"/>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Inter-band DC is supported in RAN1 as a baseline.</w:t>
      </w:r>
    </w:p>
    <w:p>
      <w:pPr>
        <w:rPr>
          <w:rFonts w:hint="default"/>
          <w:b w:val="0"/>
          <w:bCs/>
          <w:sz w:val="22"/>
          <w:szCs w:val="22"/>
          <w:lang w:val="en-US" w:eastAsia="zh-CN"/>
        </w:rPr>
      </w:pPr>
      <w:r>
        <w:rPr>
          <w:rFonts w:hint="eastAsia"/>
          <w:b/>
          <w:bCs w:val="0"/>
          <w:sz w:val="22"/>
          <w:szCs w:val="22"/>
          <w:lang w:val="en-US" w:eastAsia="zh-CN"/>
        </w:rPr>
        <w:t xml:space="preserve">Observation 2: </w:t>
      </w:r>
      <w:r>
        <w:rPr>
          <w:rFonts w:hint="eastAsia"/>
          <w:b w:val="0"/>
          <w:bCs/>
          <w:sz w:val="22"/>
          <w:szCs w:val="22"/>
          <w:lang w:val="en-US" w:eastAsia="zh-CN"/>
        </w:rPr>
        <w:t>For intra-band NR-DC, at least synchronous intra-band is supported by RAN1.</w:t>
      </w:r>
    </w:p>
    <w:p>
      <w:pPr>
        <w:pStyle w:val="35"/>
        <w:rPr>
          <w:rFonts w:hint="eastAsia"/>
          <w:b w:val="0"/>
          <w:bCs/>
          <w:sz w:val="22"/>
          <w:szCs w:val="22"/>
          <w:lang w:val="en-US" w:eastAsia="zh-CN"/>
        </w:rPr>
      </w:pPr>
      <w:r>
        <w:rPr>
          <w:rFonts w:hint="eastAsia"/>
          <w:b/>
          <w:bCs w:val="0"/>
          <w:sz w:val="22"/>
          <w:szCs w:val="22"/>
          <w:lang w:val="en-US" w:eastAsia="zh-CN"/>
        </w:rPr>
        <w:t xml:space="preserve">RAN4 shall align with current RAN1 agreement to specify requirements for inter-band NR-DC and synchronous intra-band NR-DC. </w:t>
      </w:r>
    </w:p>
    <w:p>
      <w:pPr>
        <w:rPr>
          <w:rFonts w:hint="default"/>
          <w:b w:val="0"/>
          <w:bCs/>
          <w:sz w:val="22"/>
          <w:szCs w:val="22"/>
          <w:lang w:val="en-US" w:eastAsia="zh-CN"/>
        </w:rPr>
      </w:pPr>
      <w:r>
        <w:rPr>
          <w:rFonts w:hint="eastAsia"/>
          <w:b w:val="0"/>
          <w:bCs/>
          <w:sz w:val="22"/>
          <w:szCs w:val="22"/>
          <w:lang w:val="en-US" w:eastAsia="zh-CN"/>
        </w:rPr>
        <w:t>The starting point of the discussion in RAN4 RRM shall be that if the above mentioned DC scenarios are to be supported by R17 IAB-MTs, the core requirements of R16 UEs shall be used as baseline.</w:t>
      </w:r>
    </w:p>
    <w:p>
      <w:pPr>
        <w:pStyle w:val="35"/>
        <w:rPr>
          <w:rFonts w:hint="default"/>
          <w:b w:val="0"/>
          <w:bCs/>
          <w:sz w:val="22"/>
          <w:szCs w:val="22"/>
          <w:lang w:val="en-US" w:eastAsia="zh-CN"/>
        </w:rPr>
      </w:pPr>
      <w:r>
        <w:rPr>
          <w:rFonts w:hint="eastAsia"/>
          <w:b/>
          <w:bCs w:val="0"/>
          <w:sz w:val="22"/>
          <w:szCs w:val="22"/>
          <w:lang w:val="en-US" w:eastAsia="zh-CN"/>
        </w:rPr>
        <w:t xml:space="preserve">The core requirements of R16 UEs should be used as baseline. </w:t>
      </w:r>
    </w:p>
    <w:p>
      <w:pPr>
        <w:pStyle w:val="27"/>
        <w:jc w:val="both"/>
      </w:pPr>
      <w:r>
        <w:rPr>
          <w:rFonts w:hint="eastAsia"/>
          <w:lang w:val="en-US" w:eastAsia="zh-CN"/>
        </w:rPr>
        <w:t>3</w:t>
      </w:r>
      <w:r>
        <w:tab/>
      </w:r>
      <w:r>
        <w:t>Conclusion</w:t>
      </w:r>
    </w:p>
    <w:p>
      <w:pPr>
        <w:rPr>
          <w:rFonts w:hint="default"/>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Inter-band DC is supported in RAN1 as a baseline.</w:t>
      </w:r>
    </w:p>
    <w:p>
      <w:pPr>
        <w:rPr>
          <w:rFonts w:hint="eastAsia"/>
          <w:b w:val="0"/>
          <w:bCs/>
          <w:sz w:val="22"/>
          <w:szCs w:val="22"/>
          <w:lang w:val="en-US" w:eastAsia="zh-CN"/>
        </w:rPr>
      </w:pPr>
      <w:r>
        <w:rPr>
          <w:rFonts w:hint="eastAsia"/>
          <w:b/>
          <w:bCs w:val="0"/>
          <w:sz w:val="22"/>
          <w:szCs w:val="22"/>
          <w:lang w:val="en-US" w:eastAsia="zh-CN"/>
        </w:rPr>
        <w:t xml:space="preserve">Observation 2: </w:t>
      </w:r>
      <w:r>
        <w:rPr>
          <w:rFonts w:hint="eastAsia"/>
          <w:b w:val="0"/>
          <w:bCs/>
          <w:sz w:val="22"/>
          <w:szCs w:val="22"/>
          <w:lang w:val="en-US" w:eastAsia="zh-CN"/>
        </w:rPr>
        <w:t>For intra-band NR-DC, at least synchronous intra-band is supported by RAN1.</w:t>
      </w:r>
    </w:p>
    <w:p>
      <w:pPr>
        <w:rPr>
          <w:rFonts w:hint="eastAsia"/>
          <w:b/>
          <w:bCs w:val="0"/>
          <w:sz w:val="22"/>
          <w:szCs w:val="22"/>
          <w:lang w:val="en-US" w:eastAsia="zh-CN"/>
        </w:rPr>
      </w:pPr>
      <w:r>
        <w:rPr>
          <w:rFonts w:hint="eastAsia"/>
          <w:b/>
          <w:bCs w:val="0"/>
          <w:sz w:val="22"/>
          <w:szCs w:val="22"/>
          <w:lang w:val="en-US" w:eastAsia="zh-CN"/>
        </w:rPr>
        <w:t>Proposal 1: RAN4 shall align with current RAN1 agreement to specify requirements for inter-band NR-DC and synchronous intra-band NR-DC.</w:t>
      </w:r>
    </w:p>
    <w:p>
      <w:pPr>
        <w:rPr>
          <w:rFonts w:hint="eastAsia"/>
          <w:b/>
          <w:bCs w:val="0"/>
          <w:sz w:val="22"/>
          <w:szCs w:val="22"/>
          <w:lang w:val="en-US" w:eastAsia="zh-CN"/>
        </w:rPr>
      </w:pPr>
      <w:r>
        <w:rPr>
          <w:rFonts w:hint="eastAsia"/>
          <w:b/>
          <w:bCs w:val="0"/>
          <w:sz w:val="22"/>
          <w:szCs w:val="22"/>
          <w:lang w:val="en-US" w:eastAsia="zh-CN"/>
        </w:rPr>
        <w:t xml:space="preserve">Proposal 2: The core requirements of R16 UEs should </w:t>
      </w:r>
      <w:bookmarkStart w:id="4" w:name="_GoBack"/>
      <w:bookmarkEnd w:id="4"/>
      <w:r>
        <w:rPr>
          <w:rFonts w:hint="eastAsia"/>
          <w:b/>
          <w:bCs w:val="0"/>
          <w:sz w:val="22"/>
          <w:szCs w:val="22"/>
          <w:lang w:val="en-US" w:eastAsia="zh-CN"/>
        </w:rPr>
        <w:t>be used as baseline.</w:t>
      </w:r>
    </w:p>
    <w:p>
      <w:pPr>
        <w:pStyle w:val="27"/>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R1-2103839</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C38526F"/>
    <w:multiLevelType w:val="multilevel"/>
    <w:tmpl w:val="1C38526F"/>
    <w:lvl w:ilvl="0" w:tentative="0">
      <w:start w:val="8"/>
      <w:numFmt w:val="bullet"/>
      <w:lvlText w:val="-"/>
      <w:lvlJc w:val="left"/>
      <w:pPr>
        <w:ind w:left="620" w:hanging="420"/>
      </w:pPr>
      <w:rPr>
        <w:rFonts w:hint="default" w:ascii="Times New Roman" w:hAnsi="Times New Roman" w:eastAsia="Times New Roman" w:cs="Times New Roman"/>
      </w:rPr>
    </w:lvl>
    <w:lvl w:ilvl="1" w:tentative="0">
      <w:start w:val="1"/>
      <w:numFmt w:val="bullet"/>
      <w:lvlText w:val="o"/>
      <w:lvlJc w:val="left"/>
      <w:pPr>
        <w:ind w:left="1040" w:hanging="420"/>
      </w:pPr>
      <w:rPr>
        <w:rFonts w:hint="default" w:ascii="Courier New" w:hAnsi="Courier New" w:cs="Courier New"/>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1C53C0"/>
    <w:rsid w:val="23514077"/>
    <w:rsid w:val="23855295"/>
    <w:rsid w:val="238F59E1"/>
    <w:rsid w:val="23B20773"/>
    <w:rsid w:val="23CF6D67"/>
    <w:rsid w:val="23FF1EED"/>
    <w:rsid w:val="248F188B"/>
    <w:rsid w:val="24BD0518"/>
    <w:rsid w:val="24E91488"/>
    <w:rsid w:val="25077EC5"/>
    <w:rsid w:val="256A021C"/>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862B60"/>
    <w:rsid w:val="6DB702B4"/>
    <w:rsid w:val="6E4462CC"/>
    <w:rsid w:val="6E504618"/>
    <w:rsid w:val="6EB20078"/>
    <w:rsid w:val="6F1028C5"/>
    <w:rsid w:val="6F3608C4"/>
    <w:rsid w:val="6F5579D7"/>
    <w:rsid w:val="6F801AF8"/>
    <w:rsid w:val="6F8D5AAE"/>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2</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2021-05-10T07:25:49Z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